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DF0FB" w14:textId="77777777" w:rsidR="00F832B9" w:rsidRDefault="00223993">
      <w:pPr>
        <w:pStyle w:val="BodyA"/>
        <w:jc w:val="center"/>
        <w:rPr>
          <w:b/>
          <w:bCs/>
          <w:sz w:val="24"/>
          <w:szCs w:val="24"/>
        </w:rPr>
      </w:pPr>
      <w:r>
        <w:rPr>
          <w:b/>
          <w:bCs/>
          <w:sz w:val="24"/>
          <w:szCs w:val="24"/>
        </w:rPr>
        <w:t>ABSTRACT TEMPLATE FOR THE ACCC DOCTORAL PROGRAMME WORKSHOP</w:t>
      </w:r>
    </w:p>
    <w:p w14:paraId="18228289" w14:textId="77777777" w:rsidR="00F832B9" w:rsidRDefault="00F832B9">
      <w:pPr>
        <w:pStyle w:val="BodyA"/>
        <w:jc w:val="center"/>
      </w:pPr>
    </w:p>
    <w:p w14:paraId="7EF681D4" w14:textId="77777777" w:rsidR="00F832B9" w:rsidRDefault="00223993">
      <w:pPr>
        <w:pStyle w:val="BodyA"/>
        <w:jc w:val="center"/>
      </w:pPr>
      <w:r>
        <w:t>A.B. ONE</w:t>
      </w:r>
      <w:r>
        <w:rPr>
          <w:vertAlign w:val="superscript"/>
        </w:rPr>
        <w:t>1</w:t>
      </w:r>
      <w:r>
        <w:t>, C.D. TWO</w:t>
      </w:r>
      <w:r>
        <w:rPr>
          <w:vertAlign w:val="superscript"/>
        </w:rPr>
        <w:t>2</w:t>
      </w:r>
      <w:r>
        <w:t>, E. THREE</w:t>
      </w:r>
      <w:r>
        <w:rPr>
          <w:vertAlign w:val="superscript"/>
        </w:rPr>
        <w:t>1,2</w:t>
      </w:r>
      <w:r>
        <w:t xml:space="preserve"> and F. FOUR</w:t>
      </w:r>
      <w:r>
        <w:rPr>
          <w:vertAlign w:val="superscript"/>
        </w:rPr>
        <w:t>3</w:t>
      </w:r>
    </w:p>
    <w:p w14:paraId="51DFADD5" w14:textId="77777777" w:rsidR="00F832B9" w:rsidRDefault="00F832B9">
      <w:pPr>
        <w:pStyle w:val="BodyA"/>
        <w:jc w:val="center"/>
      </w:pPr>
    </w:p>
    <w:p w14:paraId="0D1C9C20" w14:textId="77777777" w:rsidR="00F832B9" w:rsidRDefault="00223993">
      <w:pPr>
        <w:pStyle w:val="BodyA"/>
        <w:jc w:val="center"/>
      </w:pPr>
      <w:r>
        <w:rPr>
          <w:vertAlign w:val="superscript"/>
        </w:rPr>
        <w:t xml:space="preserve">1 </w:t>
      </w:r>
      <w:r>
        <w:t>Department of Physics, University of Helsinki, Finland</w:t>
      </w:r>
    </w:p>
    <w:p w14:paraId="1D9E1FA4" w14:textId="77777777" w:rsidR="00F832B9" w:rsidRDefault="00223993">
      <w:pPr>
        <w:pStyle w:val="BodyA"/>
        <w:jc w:val="center"/>
      </w:pPr>
      <w:r>
        <w:rPr>
          <w:vertAlign w:val="superscript"/>
        </w:rPr>
        <w:t xml:space="preserve">2 </w:t>
      </w:r>
      <w:r>
        <w:t>Department of Applied Physics, University of Eastern Finland, Finland</w:t>
      </w:r>
    </w:p>
    <w:p w14:paraId="563089E7" w14:textId="77777777" w:rsidR="00F832B9" w:rsidRDefault="00223993">
      <w:pPr>
        <w:pStyle w:val="BodyA"/>
        <w:jc w:val="center"/>
      </w:pPr>
      <w:r>
        <w:rPr>
          <w:vertAlign w:val="superscript"/>
        </w:rPr>
        <w:t xml:space="preserve">3 </w:t>
      </w:r>
      <w:r>
        <w:t>Finnish Meteorological Institute, Helsinki, Finland</w:t>
      </w:r>
    </w:p>
    <w:p w14:paraId="1F274D05" w14:textId="77777777" w:rsidR="00F832B9" w:rsidRDefault="00F832B9">
      <w:pPr>
        <w:pStyle w:val="BodyA"/>
      </w:pPr>
    </w:p>
    <w:p w14:paraId="41C27416" w14:textId="41AA0213" w:rsidR="00F832B9" w:rsidRDefault="00223993">
      <w:pPr>
        <w:pStyle w:val="BodyA"/>
        <w:jc w:val="center"/>
      </w:pPr>
      <w:r>
        <w:t xml:space="preserve">Keywords:   nucleation, atmospheric aerosols, water, </w:t>
      </w:r>
      <w:proofErr w:type="spellStart"/>
      <w:r>
        <w:t>sulphuric</w:t>
      </w:r>
      <w:proofErr w:type="spellEnd"/>
      <w:r>
        <w:t xml:space="preserve"> acid, ammonia</w:t>
      </w:r>
    </w:p>
    <w:p w14:paraId="321E7D74" w14:textId="20412392" w:rsidR="001628E7" w:rsidRDefault="001628E7">
      <w:pPr>
        <w:pStyle w:val="BodyA"/>
        <w:jc w:val="center"/>
      </w:pPr>
      <w:r>
        <w:t>Aerosol Theme: Which of the five themes</w:t>
      </w:r>
      <w:r w:rsidR="00ED78AD">
        <w:t xml:space="preserve"> (see webpage</w:t>
      </w:r>
      <w:bookmarkStart w:id="0" w:name="_GoBack"/>
      <w:bookmarkEnd w:id="0"/>
      <w:r w:rsidR="00ED78AD">
        <w:t>)</w:t>
      </w:r>
      <w:r>
        <w:t xml:space="preserve"> best describes the work?</w:t>
      </w:r>
    </w:p>
    <w:p w14:paraId="5BEC3D77" w14:textId="77777777" w:rsidR="00F832B9" w:rsidRDefault="00F832B9">
      <w:pPr>
        <w:pStyle w:val="BodyA"/>
        <w:rPr>
          <w:lang w:val="nl-NL"/>
        </w:rPr>
      </w:pPr>
    </w:p>
    <w:p w14:paraId="10FEF765" w14:textId="77777777" w:rsidR="00F832B9" w:rsidRDefault="00F832B9">
      <w:pPr>
        <w:pStyle w:val="BodyA"/>
        <w:rPr>
          <w:lang w:val="nl-NL"/>
        </w:rPr>
      </w:pPr>
    </w:p>
    <w:p w14:paraId="20658628" w14:textId="77777777" w:rsidR="00F832B9" w:rsidRDefault="00F832B9">
      <w:pPr>
        <w:pStyle w:val="BodyA"/>
        <w:sectPr w:rsidR="00F832B9">
          <w:headerReference w:type="default" r:id="rId6"/>
          <w:footerReference w:type="default" r:id="rId7"/>
          <w:pgSz w:w="11900" w:h="16840"/>
          <w:pgMar w:top="1418" w:right="1247" w:bottom="1418" w:left="1247" w:header="709" w:footer="709" w:gutter="0"/>
          <w:cols w:space="708"/>
        </w:sectPr>
      </w:pPr>
    </w:p>
    <w:p w14:paraId="71D8634D" w14:textId="77777777" w:rsidR="00F832B9" w:rsidRDefault="00223993">
      <w:pPr>
        <w:pStyle w:val="BodyText"/>
        <w:tabs>
          <w:tab w:val="left" w:pos="567"/>
          <w:tab w:val="center" w:pos="2268"/>
        </w:tabs>
        <w:jc w:val="both"/>
        <w:rPr>
          <w:sz w:val="20"/>
          <w:szCs w:val="20"/>
        </w:rPr>
      </w:pPr>
      <w:r>
        <w:rPr>
          <w:sz w:val="20"/>
          <w:szCs w:val="20"/>
        </w:rPr>
        <w:tab/>
        <w:t xml:space="preserve">Start typing text here (about 7cm from the top of the page, depending on the length of the title and the number of addresses). Use 10 </w:t>
      </w:r>
      <w:proofErr w:type="spellStart"/>
      <w:r>
        <w:rPr>
          <w:sz w:val="20"/>
          <w:szCs w:val="20"/>
        </w:rPr>
        <w:t>pt</w:t>
      </w:r>
      <w:proofErr w:type="spellEnd"/>
      <w:r>
        <w:rPr>
          <w:sz w:val="20"/>
          <w:szCs w:val="20"/>
        </w:rPr>
        <w:t xml:space="preserve"> Times New Roman font (except for the title, which should be in 12 </w:t>
      </w:r>
      <w:proofErr w:type="spellStart"/>
      <w:r>
        <w:rPr>
          <w:sz w:val="20"/>
          <w:szCs w:val="20"/>
        </w:rPr>
        <w:t>pt</w:t>
      </w:r>
      <w:proofErr w:type="spellEnd"/>
      <w:r>
        <w:rPr>
          <w:sz w:val="20"/>
          <w:szCs w:val="20"/>
        </w:rPr>
        <w:t xml:space="preserve"> bold and in upper case). Centre the title, the authors' names, the addresses, and keywords. For the body of the abstract, start each paragraph with a tab, and use tab settings of 1 cm. Justify the body of the text both left and right.</w:t>
      </w:r>
    </w:p>
    <w:p w14:paraId="156678B6" w14:textId="77777777" w:rsidR="00F832B9" w:rsidRDefault="00223993">
      <w:pPr>
        <w:pStyle w:val="BodyText"/>
        <w:tabs>
          <w:tab w:val="left" w:pos="567"/>
          <w:tab w:val="center" w:pos="2268"/>
        </w:tabs>
        <w:jc w:val="both"/>
        <w:rPr>
          <w:sz w:val="20"/>
          <w:szCs w:val="20"/>
        </w:rPr>
      </w:pPr>
      <w:r>
        <w:rPr>
          <w:sz w:val="20"/>
          <w:szCs w:val="20"/>
        </w:rPr>
        <w:tab/>
        <w:t xml:space="preserve">The abstract should be in double column (like this example), and </w:t>
      </w:r>
      <w:r w:rsidRPr="006F77AD">
        <w:rPr>
          <w:b/>
          <w:bCs/>
          <w:sz w:val="20"/>
          <w:szCs w:val="20"/>
        </w:rPr>
        <w:t xml:space="preserve">a maximum of </w:t>
      </w:r>
      <w:r>
        <w:rPr>
          <w:b/>
          <w:bCs/>
          <w:sz w:val="20"/>
          <w:szCs w:val="20"/>
        </w:rPr>
        <w:t>one</w:t>
      </w:r>
      <w:r>
        <w:rPr>
          <w:sz w:val="20"/>
          <w:szCs w:val="20"/>
        </w:rPr>
        <w:t xml:space="preserve"> page long. Use A4 page set-up and make top and bottom margins 25 mm wide, left and right margins 22 mm wide. You can include up to five keywords. The keywords should describe your work in the broader context as well as possible.</w:t>
      </w:r>
    </w:p>
    <w:p w14:paraId="17319BC9" w14:textId="77777777" w:rsidR="00F832B9" w:rsidRDefault="00223993">
      <w:pPr>
        <w:pStyle w:val="BodyA"/>
        <w:tabs>
          <w:tab w:val="left" w:pos="567"/>
          <w:tab w:val="center" w:pos="2268"/>
        </w:tabs>
        <w:jc w:val="both"/>
      </w:pPr>
      <w:r>
        <w:tab/>
        <w:t xml:space="preserve">Figures and Tables may be included in the abstract, but make sure that they have a caption, and that they are numbered consecutively using Arabic numerals. All the Figures and Tables must be referred to in the abstract text. The font used in captions should be 10 pt. If the caption is shorter than one full line, it should be </w:t>
      </w:r>
      <w:proofErr w:type="spellStart"/>
      <w:r>
        <w:t>centred</w:t>
      </w:r>
      <w:proofErr w:type="spellEnd"/>
      <w:r>
        <w:t xml:space="preserve"> like in Table 1. If it is longer, it should be justified both left and right like in Figure 1. Vertical lines in tables should be avoided. Equations should be </w:t>
      </w:r>
      <w:proofErr w:type="spellStart"/>
      <w:r>
        <w:t>centred</w:t>
      </w:r>
      <w:proofErr w:type="spellEnd"/>
      <w:r>
        <w:t xml:space="preserve"> and numbered consecutively, like in the example below:</w:t>
      </w:r>
    </w:p>
    <w:p w14:paraId="6532344D" w14:textId="77777777" w:rsidR="00F832B9" w:rsidRDefault="00223993">
      <w:pPr>
        <w:pStyle w:val="BodyA"/>
        <w:tabs>
          <w:tab w:val="left" w:pos="567"/>
          <w:tab w:val="center" w:pos="2268"/>
        </w:tabs>
        <w:jc w:val="center"/>
      </w:pPr>
      <w:r>
        <w:rPr>
          <w:noProof/>
        </w:rPr>
        <w:drawing>
          <wp:inline distT="0" distB="0" distL="0" distR="0" wp14:anchorId="4AC50F33" wp14:editId="04E4ED2D">
            <wp:extent cx="581025" cy="1714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stretch>
                      <a:fillRect/>
                    </a:stretch>
                  </pic:blipFill>
                  <pic:spPr>
                    <a:xfrm>
                      <a:off x="0" y="0"/>
                      <a:ext cx="581025" cy="171450"/>
                    </a:xfrm>
                    <a:prstGeom prst="rect">
                      <a:avLst/>
                    </a:prstGeom>
                    <a:ln w="12700" cap="flat">
                      <a:noFill/>
                      <a:miter lim="400000"/>
                    </a:ln>
                    <a:effectLst/>
                  </pic:spPr>
                </pic:pic>
              </a:graphicData>
            </a:graphic>
          </wp:inline>
        </w:drawing>
      </w:r>
      <w:r w:rsidRPr="006F77AD">
        <w:t>(1)</w:t>
      </w:r>
    </w:p>
    <w:p w14:paraId="520D5659" w14:textId="77777777" w:rsidR="00F832B9" w:rsidRDefault="00223993">
      <w:pPr>
        <w:pStyle w:val="BodyA"/>
        <w:tabs>
          <w:tab w:val="left" w:pos="567"/>
          <w:tab w:val="center" w:pos="2268"/>
        </w:tabs>
        <w:jc w:val="both"/>
      </w:pPr>
      <w:r>
        <w:t xml:space="preserve">where </w:t>
      </w:r>
      <w:r>
        <w:rPr>
          <w:i/>
          <w:iCs/>
        </w:rPr>
        <w:t>S</w:t>
      </w:r>
      <w:r>
        <w:t xml:space="preserve"> is entropy, </w:t>
      </w:r>
      <w:r>
        <w:rPr>
          <w:i/>
          <w:iCs/>
        </w:rPr>
        <w:t>k</w:t>
      </w:r>
      <w:r>
        <w:t xml:space="preserve"> is Boltzmann’s constant, and Ω is the number of microstates.</w:t>
      </w:r>
    </w:p>
    <w:tbl>
      <w:tblPr>
        <w:tblW w:w="406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88"/>
        <w:gridCol w:w="1440"/>
        <w:gridCol w:w="1440"/>
      </w:tblGrid>
      <w:tr w:rsidR="00F832B9" w14:paraId="5CF3D518" w14:textId="77777777">
        <w:trPr>
          <w:trHeight w:val="258"/>
        </w:trPr>
        <w:tc>
          <w:tcPr>
            <w:tcW w:w="1188" w:type="dxa"/>
            <w:tcBorders>
              <w:top w:val="single" w:sz="4" w:space="0" w:color="808080"/>
              <w:left w:val="nil"/>
              <w:bottom w:val="single" w:sz="4" w:space="0" w:color="808080"/>
              <w:right w:val="nil"/>
            </w:tcBorders>
            <w:shd w:val="clear" w:color="auto" w:fill="auto"/>
            <w:tcMar>
              <w:top w:w="80" w:type="dxa"/>
              <w:left w:w="80" w:type="dxa"/>
              <w:bottom w:w="80" w:type="dxa"/>
              <w:right w:w="80" w:type="dxa"/>
            </w:tcMar>
            <w:vAlign w:val="bottom"/>
          </w:tcPr>
          <w:p w14:paraId="64B66F25" w14:textId="77777777" w:rsidR="00F832B9" w:rsidRDefault="00223993">
            <w:pPr>
              <w:pStyle w:val="BodyA"/>
              <w:tabs>
                <w:tab w:val="left" w:pos="567"/>
                <w:tab w:val="center" w:pos="2268"/>
              </w:tabs>
            </w:pPr>
            <w:r>
              <w:t>Day</w:t>
            </w:r>
          </w:p>
        </w:tc>
        <w:tc>
          <w:tcPr>
            <w:tcW w:w="1440" w:type="dxa"/>
            <w:tcBorders>
              <w:top w:val="single" w:sz="4" w:space="0" w:color="808080"/>
              <w:left w:val="nil"/>
              <w:bottom w:val="single" w:sz="4" w:space="0" w:color="808080"/>
              <w:right w:val="nil"/>
            </w:tcBorders>
            <w:shd w:val="clear" w:color="auto" w:fill="auto"/>
            <w:tcMar>
              <w:top w:w="80" w:type="dxa"/>
              <w:left w:w="80" w:type="dxa"/>
              <w:bottom w:w="80" w:type="dxa"/>
              <w:right w:w="80" w:type="dxa"/>
            </w:tcMar>
            <w:vAlign w:val="bottom"/>
          </w:tcPr>
          <w:p w14:paraId="45D2BDFA" w14:textId="77777777" w:rsidR="00F832B9" w:rsidRDefault="00223993">
            <w:pPr>
              <w:pStyle w:val="BodyA"/>
              <w:tabs>
                <w:tab w:val="left" w:pos="567"/>
                <w:tab w:val="center" w:pos="2268"/>
              </w:tabs>
              <w:jc w:val="center"/>
            </w:pPr>
            <w:r>
              <w:t>Number [cm</w:t>
            </w:r>
            <w:r>
              <w:rPr>
                <w:vertAlign w:val="superscript"/>
              </w:rPr>
              <w:t>-3</w:t>
            </w:r>
            <w:r>
              <w:t>]</w:t>
            </w:r>
          </w:p>
        </w:tc>
        <w:tc>
          <w:tcPr>
            <w:tcW w:w="1440" w:type="dxa"/>
            <w:tcBorders>
              <w:top w:val="single" w:sz="4" w:space="0" w:color="808080"/>
              <w:left w:val="nil"/>
              <w:bottom w:val="single" w:sz="4" w:space="0" w:color="808080"/>
              <w:right w:val="nil"/>
            </w:tcBorders>
            <w:shd w:val="clear" w:color="auto" w:fill="auto"/>
            <w:tcMar>
              <w:top w:w="80" w:type="dxa"/>
              <w:left w:w="80" w:type="dxa"/>
              <w:bottom w:w="80" w:type="dxa"/>
              <w:right w:w="80" w:type="dxa"/>
            </w:tcMar>
            <w:vAlign w:val="bottom"/>
          </w:tcPr>
          <w:p w14:paraId="40CEEA00" w14:textId="77777777" w:rsidR="00F832B9" w:rsidRDefault="00223993">
            <w:pPr>
              <w:pStyle w:val="BodyA"/>
              <w:tabs>
                <w:tab w:val="left" w:pos="567"/>
                <w:tab w:val="center" w:pos="2268"/>
              </w:tabs>
              <w:jc w:val="center"/>
            </w:pPr>
            <w:r>
              <w:t>Mass [</w:t>
            </w:r>
            <w:r>
              <w:rPr>
                <w:rFonts w:ascii="Symbol" w:hAnsi="Symbol"/>
              </w:rPr>
              <w:t></w:t>
            </w:r>
            <w:r>
              <w:t>g m</w:t>
            </w:r>
            <w:r>
              <w:rPr>
                <w:vertAlign w:val="superscript"/>
              </w:rPr>
              <w:t>-3</w:t>
            </w:r>
            <w:r>
              <w:t>]</w:t>
            </w:r>
          </w:p>
        </w:tc>
      </w:tr>
      <w:tr w:rsidR="00F832B9" w14:paraId="5AB29304" w14:textId="77777777">
        <w:trPr>
          <w:trHeight w:val="247"/>
        </w:trPr>
        <w:tc>
          <w:tcPr>
            <w:tcW w:w="1188" w:type="dxa"/>
            <w:tcBorders>
              <w:top w:val="single" w:sz="4" w:space="0" w:color="808080"/>
              <w:left w:val="nil"/>
              <w:bottom w:val="nil"/>
              <w:right w:val="nil"/>
            </w:tcBorders>
            <w:shd w:val="clear" w:color="auto" w:fill="auto"/>
            <w:tcMar>
              <w:top w:w="80" w:type="dxa"/>
              <w:left w:w="80" w:type="dxa"/>
              <w:bottom w:w="80" w:type="dxa"/>
              <w:right w:w="80" w:type="dxa"/>
            </w:tcMar>
            <w:vAlign w:val="bottom"/>
          </w:tcPr>
          <w:p w14:paraId="1142E46B" w14:textId="77777777" w:rsidR="00F832B9" w:rsidRDefault="00223993">
            <w:pPr>
              <w:pStyle w:val="BodyA"/>
              <w:tabs>
                <w:tab w:val="left" w:pos="567"/>
                <w:tab w:val="center" w:pos="2268"/>
              </w:tabs>
            </w:pPr>
            <w:r>
              <w:t>January 23</w:t>
            </w:r>
          </w:p>
        </w:tc>
        <w:tc>
          <w:tcPr>
            <w:tcW w:w="1440" w:type="dxa"/>
            <w:tcBorders>
              <w:top w:val="single" w:sz="4" w:space="0" w:color="808080"/>
              <w:left w:val="nil"/>
              <w:bottom w:val="nil"/>
              <w:right w:val="nil"/>
            </w:tcBorders>
            <w:shd w:val="clear" w:color="auto" w:fill="auto"/>
            <w:tcMar>
              <w:top w:w="80" w:type="dxa"/>
              <w:left w:w="80" w:type="dxa"/>
              <w:bottom w:w="80" w:type="dxa"/>
              <w:right w:w="80" w:type="dxa"/>
            </w:tcMar>
            <w:vAlign w:val="bottom"/>
          </w:tcPr>
          <w:p w14:paraId="4E41A986" w14:textId="77777777" w:rsidR="00F832B9" w:rsidRDefault="00223993">
            <w:pPr>
              <w:pStyle w:val="BodyA"/>
              <w:tabs>
                <w:tab w:val="left" w:pos="567"/>
                <w:tab w:val="center" w:pos="2268"/>
              </w:tabs>
              <w:jc w:val="center"/>
            </w:pPr>
            <w:r>
              <w:t>2050</w:t>
            </w:r>
          </w:p>
        </w:tc>
        <w:tc>
          <w:tcPr>
            <w:tcW w:w="1440" w:type="dxa"/>
            <w:tcBorders>
              <w:top w:val="single" w:sz="4" w:space="0" w:color="808080"/>
              <w:left w:val="nil"/>
              <w:bottom w:val="nil"/>
              <w:right w:val="nil"/>
            </w:tcBorders>
            <w:shd w:val="clear" w:color="auto" w:fill="auto"/>
            <w:tcMar>
              <w:top w:w="80" w:type="dxa"/>
              <w:left w:w="80" w:type="dxa"/>
              <w:bottom w:w="80" w:type="dxa"/>
              <w:right w:w="80" w:type="dxa"/>
            </w:tcMar>
            <w:vAlign w:val="bottom"/>
          </w:tcPr>
          <w:p w14:paraId="48114C8D" w14:textId="77777777" w:rsidR="00F832B9" w:rsidRDefault="00223993">
            <w:pPr>
              <w:pStyle w:val="BodyA"/>
              <w:tabs>
                <w:tab w:val="left" w:pos="567"/>
                <w:tab w:val="center" w:pos="2268"/>
              </w:tabs>
              <w:jc w:val="center"/>
            </w:pPr>
            <w:r>
              <w:t>4.7</w:t>
            </w:r>
          </w:p>
        </w:tc>
      </w:tr>
      <w:tr w:rsidR="00F832B9" w14:paraId="0AFBA4D7" w14:textId="77777777">
        <w:trPr>
          <w:trHeight w:val="227"/>
        </w:trPr>
        <w:tc>
          <w:tcPr>
            <w:tcW w:w="1188" w:type="dxa"/>
            <w:tcBorders>
              <w:top w:val="nil"/>
              <w:left w:val="nil"/>
              <w:bottom w:val="single" w:sz="4" w:space="0" w:color="808080"/>
              <w:right w:val="nil"/>
            </w:tcBorders>
            <w:shd w:val="clear" w:color="auto" w:fill="auto"/>
            <w:tcMar>
              <w:top w:w="80" w:type="dxa"/>
              <w:left w:w="80" w:type="dxa"/>
              <w:bottom w:w="80" w:type="dxa"/>
              <w:right w:w="80" w:type="dxa"/>
            </w:tcMar>
            <w:vAlign w:val="bottom"/>
          </w:tcPr>
          <w:p w14:paraId="0FBED979" w14:textId="77777777" w:rsidR="00F832B9" w:rsidRDefault="00223993">
            <w:pPr>
              <w:pStyle w:val="BodyA"/>
              <w:tabs>
                <w:tab w:val="left" w:pos="567"/>
                <w:tab w:val="center" w:pos="2268"/>
              </w:tabs>
            </w:pPr>
            <w:r>
              <w:t>April 5</w:t>
            </w:r>
          </w:p>
        </w:tc>
        <w:tc>
          <w:tcPr>
            <w:tcW w:w="1440" w:type="dxa"/>
            <w:tcBorders>
              <w:top w:val="nil"/>
              <w:left w:val="nil"/>
              <w:bottom w:val="single" w:sz="4" w:space="0" w:color="808080"/>
              <w:right w:val="nil"/>
            </w:tcBorders>
            <w:shd w:val="clear" w:color="auto" w:fill="auto"/>
            <w:tcMar>
              <w:top w:w="80" w:type="dxa"/>
              <w:left w:w="80" w:type="dxa"/>
              <w:bottom w:w="80" w:type="dxa"/>
              <w:right w:w="80" w:type="dxa"/>
            </w:tcMar>
            <w:vAlign w:val="bottom"/>
          </w:tcPr>
          <w:p w14:paraId="27A9A258" w14:textId="77777777" w:rsidR="00F832B9" w:rsidRDefault="00223993">
            <w:pPr>
              <w:pStyle w:val="BodyA"/>
              <w:tabs>
                <w:tab w:val="left" w:pos="567"/>
                <w:tab w:val="center" w:pos="2268"/>
              </w:tabs>
              <w:jc w:val="center"/>
            </w:pPr>
            <w:r>
              <w:t>12800</w:t>
            </w:r>
          </w:p>
        </w:tc>
        <w:tc>
          <w:tcPr>
            <w:tcW w:w="1440" w:type="dxa"/>
            <w:tcBorders>
              <w:top w:val="nil"/>
              <w:left w:val="nil"/>
              <w:bottom w:val="single" w:sz="4" w:space="0" w:color="808080"/>
              <w:right w:val="nil"/>
            </w:tcBorders>
            <w:shd w:val="clear" w:color="auto" w:fill="auto"/>
            <w:tcMar>
              <w:top w:w="80" w:type="dxa"/>
              <w:left w:w="80" w:type="dxa"/>
              <w:bottom w:w="80" w:type="dxa"/>
              <w:right w:w="80" w:type="dxa"/>
            </w:tcMar>
            <w:vAlign w:val="bottom"/>
          </w:tcPr>
          <w:p w14:paraId="31C5C3F7" w14:textId="77777777" w:rsidR="00F832B9" w:rsidRDefault="00223993">
            <w:pPr>
              <w:pStyle w:val="BodyA"/>
              <w:tabs>
                <w:tab w:val="left" w:pos="567"/>
                <w:tab w:val="center" w:pos="2268"/>
              </w:tabs>
              <w:jc w:val="center"/>
            </w:pPr>
            <w:r>
              <w:t>8.5</w:t>
            </w:r>
          </w:p>
        </w:tc>
      </w:tr>
    </w:tbl>
    <w:p w14:paraId="72EF71DE" w14:textId="77777777" w:rsidR="00F832B9" w:rsidRDefault="00F832B9">
      <w:pPr>
        <w:pStyle w:val="BodyA"/>
        <w:tabs>
          <w:tab w:val="left" w:pos="567"/>
          <w:tab w:val="center" w:pos="2268"/>
        </w:tabs>
        <w:jc w:val="both"/>
      </w:pPr>
    </w:p>
    <w:p w14:paraId="66F04077" w14:textId="77777777" w:rsidR="00F832B9" w:rsidRDefault="00223993">
      <w:pPr>
        <w:pStyle w:val="BodyA"/>
        <w:tabs>
          <w:tab w:val="left" w:pos="567"/>
          <w:tab w:val="center" w:pos="2268"/>
        </w:tabs>
        <w:jc w:val="center"/>
      </w:pPr>
      <w:r>
        <w:t>Table 1: Measured properties of aerosol.</w:t>
      </w:r>
    </w:p>
    <w:p w14:paraId="29E607F3" w14:textId="77777777" w:rsidR="00F832B9" w:rsidRDefault="00F832B9">
      <w:pPr>
        <w:pStyle w:val="BodyA"/>
        <w:tabs>
          <w:tab w:val="left" w:pos="567"/>
          <w:tab w:val="center" w:pos="2268"/>
        </w:tabs>
      </w:pPr>
    </w:p>
    <w:p w14:paraId="78CBAC46" w14:textId="77777777" w:rsidR="00F832B9" w:rsidRDefault="00223993">
      <w:pPr>
        <w:pStyle w:val="BodyA"/>
        <w:tabs>
          <w:tab w:val="left" w:pos="567"/>
          <w:tab w:val="center" w:pos="2268"/>
        </w:tabs>
        <w:jc w:val="both"/>
      </w:pPr>
      <w:r>
        <w:tab/>
        <w:t>References should be made in the style (</w:t>
      </w:r>
      <w:proofErr w:type="spellStart"/>
      <w:r>
        <w:t>Noppel</w:t>
      </w:r>
      <w:proofErr w:type="spellEnd"/>
      <w:r>
        <w:t xml:space="preserve"> et al., 2002; Hale and </w:t>
      </w:r>
      <w:proofErr w:type="spellStart"/>
      <w:r>
        <w:t>DiMattio</w:t>
      </w:r>
      <w:proofErr w:type="spellEnd"/>
      <w:r>
        <w:t xml:space="preserve">, 2000), or simply refer to Seinfeld and </w:t>
      </w:r>
      <w:proofErr w:type="spellStart"/>
      <w:r>
        <w:t>Pandis</w:t>
      </w:r>
      <w:proofErr w:type="spellEnd"/>
      <w:r>
        <w:t xml:space="preserve"> (2006). Examples of references are shown in the reference list in the end of the abstract. Leave a blank line above the list with references (and also above the acknowledgements). Use of hyperlinks is also allowed as demonstrated in the abstract submission paragraph.</w:t>
      </w:r>
    </w:p>
    <w:p w14:paraId="389CDFB5" w14:textId="2F0C64C4" w:rsidR="00F832B9" w:rsidRDefault="00223993">
      <w:pPr>
        <w:pStyle w:val="BodyA"/>
        <w:tabs>
          <w:tab w:val="left" w:pos="567"/>
          <w:tab w:val="center" w:pos="2268"/>
          <w:tab w:val="right" w:pos="4395"/>
        </w:tabs>
        <w:jc w:val="both"/>
      </w:pPr>
      <w:r>
        <w:tab/>
        <w:t xml:space="preserve">Authors are invited to submit a </w:t>
      </w:r>
      <w:r>
        <w:rPr>
          <w:b/>
          <w:bCs/>
        </w:rPr>
        <w:t>one</w:t>
      </w:r>
      <w:r>
        <w:t xml:space="preserve"> page abstract related to aerosol science. The abstracts will be reviewed by the symposium </w:t>
      </w:r>
      <w:proofErr w:type="spellStart"/>
      <w:r>
        <w:t>organisers</w:t>
      </w:r>
      <w:proofErr w:type="spellEnd"/>
      <w:r w:rsidR="004B05FB">
        <w:t xml:space="preserve"> and</w:t>
      </w:r>
      <w:r>
        <w:t xml:space="preserve"> the NOSA </w:t>
      </w:r>
    </w:p>
    <w:p w14:paraId="753EFA58" w14:textId="736BD93F" w:rsidR="00F832B9" w:rsidRDefault="00223993" w:rsidP="003A49CB">
      <w:pPr>
        <w:pStyle w:val="BodyA"/>
        <w:tabs>
          <w:tab w:val="left" w:pos="567"/>
          <w:tab w:val="center" w:pos="2268"/>
          <w:tab w:val="right" w:pos="4395"/>
        </w:tabs>
        <w:jc w:val="center"/>
      </w:pPr>
      <w:r>
        <w:rPr>
          <w:noProof/>
        </w:rPr>
        <w:drawing>
          <wp:inline distT="0" distB="0" distL="0" distR="0" wp14:anchorId="5D6B7C10" wp14:editId="7F834BCC">
            <wp:extent cx="2209623" cy="1659656"/>
            <wp:effectExtent l="0" t="0" r="0" b="0"/>
            <wp:docPr id="1073741826" name="officeArt object" descr="model"/>
            <wp:cNvGraphicFramePr/>
            <a:graphic xmlns:a="http://schemas.openxmlformats.org/drawingml/2006/main">
              <a:graphicData uri="http://schemas.openxmlformats.org/drawingml/2006/picture">
                <pic:pic xmlns:pic="http://schemas.openxmlformats.org/drawingml/2006/picture">
                  <pic:nvPicPr>
                    <pic:cNvPr id="1073741826" name="image1.jpeg" descr="model"/>
                    <pic:cNvPicPr>
                      <a:picLocks noChangeAspect="1"/>
                    </pic:cNvPicPr>
                  </pic:nvPicPr>
                  <pic:blipFill>
                    <a:blip r:embed="rId9"/>
                    <a:stretch>
                      <a:fillRect/>
                    </a:stretch>
                  </pic:blipFill>
                  <pic:spPr>
                    <a:xfrm>
                      <a:off x="0" y="0"/>
                      <a:ext cx="2209623" cy="1659656"/>
                    </a:xfrm>
                    <a:prstGeom prst="rect">
                      <a:avLst/>
                    </a:prstGeom>
                    <a:ln w="12700" cap="flat">
                      <a:noFill/>
                      <a:miter lim="400000"/>
                    </a:ln>
                    <a:effectLst/>
                  </pic:spPr>
                </pic:pic>
              </a:graphicData>
            </a:graphic>
          </wp:inline>
        </w:drawing>
      </w:r>
    </w:p>
    <w:p w14:paraId="0C16E8C6" w14:textId="77777777" w:rsidR="00F832B9" w:rsidRDefault="00223993">
      <w:pPr>
        <w:pStyle w:val="BodyA"/>
        <w:tabs>
          <w:tab w:val="left" w:pos="567"/>
          <w:tab w:val="center" w:pos="2268"/>
          <w:tab w:val="right" w:pos="4395"/>
        </w:tabs>
        <w:jc w:val="both"/>
      </w:pPr>
      <w:r>
        <w:t>Figure 1: The temperatures in the summer and in the winter.</w:t>
      </w:r>
    </w:p>
    <w:p w14:paraId="65ECAF7F" w14:textId="77777777" w:rsidR="00F832B9" w:rsidRDefault="00F832B9">
      <w:pPr>
        <w:pStyle w:val="BodyA"/>
        <w:tabs>
          <w:tab w:val="left" w:pos="567"/>
          <w:tab w:val="center" w:pos="2268"/>
          <w:tab w:val="right" w:pos="4395"/>
        </w:tabs>
        <w:jc w:val="both"/>
      </w:pPr>
    </w:p>
    <w:p w14:paraId="4415847C" w14:textId="77777777" w:rsidR="00F832B9" w:rsidRDefault="00223993">
      <w:pPr>
        <w:pStyle w:val="BodyText"/>
        <w:tabs>
          <w:tab w:val="left" w:pos="567"/>
          <w:tab w:val="center" w:pos="2268"/>
          <w:tab w:val="right" w:pos="4395"/>
        </w:tabs>
        <w:jc w:val="both"/>
        <w:rPr>
          <w:sz w:val="20"/>
          <w:szCs w:val="20"/>
        </w:rPr>
      </w:pPr>
      <w:r>
        <w:rPr>
          <w:sz w:val="20"/>
          <w:szCs w:val="20"/>
        </w:rPr>
        <w:tab/>
      </w:r>
    </w:p>
    <w:p w14:paraId="2C194B48" w14:textId="6E6CE78E" w:rsidR="004B05FB" w:rsidRPr="004B05FB" w:rsidRDefault="00223993" w:rsidP="004B05FB">
      <w:pPr>
        <w:rPr>
          <w:rFonts w:eastAsia="Times New Roman"/>
          <w:sz w:val="20"/>
          <w:szCs w:val="20"/>
          <w:bdr w:val="none" w:sz="0" w:space="0" w:color="auto"/>
          <w:lang w:eastAsia="en-GB"/>
        </w:rPr>
      </w:pPr>
      <w:r>
        <w:rPr>
          <w:sz w:val="20"/>
          <w:szCs w:val="20"/>
        </w:rPr>
        <w:t xml:space="preserve">board according to scientific content, suitability for the symposium and form. Abstracts which do not fulfil the standards will be rejected. Please, avoid submitting abstracts containing only future results. The </w:t>
      </w:r>
      <w:r w:rsidRPr="004B05FB">
        <w:rPr>
          <w:sz w:val="20"/>
          <w:szCs w:val="20"/>
        </w:rPr>
        <w:t xml:space="preserve">abstract should be submitted in PDF format </w:t>
      </w:r>
      <w:r w:rsidR="004B05FB" w:rsidRPr="004B05FB">
        <w:rPr>
          <w:sz w:val="20"/>
          <w:szCs w:val="20"/>
        </w:rPr>
        <w:t>to:</w:t>
      </w:r>
    </w:p>
    <w:p w14:paraId="088871BA" w14:textId="39012AD9" w:rsidR="00F832B9" w:rsidRPr="004B05FB" w:rsidRDefault="004B05FB" w:rsidP="004B05F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eastAsia="en-GB"/>
        </w:rPr>
      </w:pPr>
      <w:r w:rsidRPr="004B05FB">
        <w:rPr>
          <w:rFonts w:eastAsia="Times New Roman"/>
          <w:sz w:val="20"/>
          <w:szCs w:val="20"/>
          <w:bdr w:val="none" w:sz="0" w:space="0" w:color="auto"/>
          <w:lang w:eastAsia="en-GB"/>
        </w:rPr>
        <w:t>nosa.conference@gmail.com.</w:t>
      </w:r>
      <w:r w:rsidRPr="004B05FB">
        <w:rPr>
          <w:sz w:val="20"/>
          <w:szCs w:val="20"/>
        </w:rPr>
        <w:t xml:space="preserve"> </w:t>
      </w:r>
      <w:r w:rsidR="00223993">
        <w:rPr>
          <w:b/>
          <w:bCs/>
          <w:sz w:val="20"/>
          <w:szCs w:val="20"/>
        </w:rPr>
        <w:t xml:space="preserve">When preparing the final PDF, make sure that the page size is A4! </w:t>
      </w:r>
      <w:r w:rsidR="00223993">
        <w:rPr>
          <w:b/>
          <w:bCs/>
          <w:sz w:val="20"/>
          <w:szCs w:val="20"/>
        </w:rPr>
        <w:tab/>
      </w:r>
    </w:p>
    <w:p w14:paraId="757F9687" w14:textId="1F1C3742" w:rsidR="00F832B9" w:rsidRDefault="002239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6"/>
        </w:tabs>
        <w:spacing w:after="24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b/>
      </w:r>
      <w:r>
        <w:rPr>
          <w:rFonts w:ascii="Times New Roman" w:hAnsi="Times New Roman"/>
          <w:sz w:val="20"/>
          <w:szCs w:val="20"/>
        </w:rPr>
        <w:t xml:space="preserve"> </w:t>
      </w:r>
    </w:p>
    <w:p w14:paraId="3ABEAE75" w14:textId="77777777" w:rsidR="00F832B9" w:rsidRDefault="00F832B9">
      <w:pPr>
        <w:pStyle w:val="BodyA"/>
        <w:tabs>
          <w:tab w:val="left" w:pos="567"/>
          <w:tab w:val="center" w:pos="2268"/>
          <w:tab w:val="right" w:pos="4395"/>
        </w:tabs>
        <w:jc w:val="both"/>
      </w:pPr>
    </w:p>
    <w:p w14:paraId="40378A42" w14:textId="77777777" w:rsidR="00F832B9" w:rsidRDefault="00223993">
      <w:pPr>
        <w:pStyle w:val="BodyA"/>
        <w:tabs>
          <w:tab w:val="center" w:pos="2268"/>
          <w:tab w:val="right" w:pos="4395"/>
        </w:tabs>
        <w:ind w:left="360" w:hanging="360"/>
        <w:jc w:val="both"/>
      </w:pPr>
      <w:r>
        <w:t xml:space="preserve">Hale, B. N. and </w:t>
      </w:r>
      <w:proofErr w:type="spellStart"/>
      <w:r>
        <w:t>DiMattio</w:t>
      </w:r>
      <w:proofErr w:type="spellEnd"/>
      <w:r>
        <w:t xml:space="preserve">, D. (2000). In Hale, B. and </w:t>
      </w:r>
      <w:proofErr w:type="spellStart"/>
      <w:r>
        <w:t>Kulmala</w:t>
      </w:r>
      <w:proofErr w:type="spellEnd"/>
      <w:r>
        <w:t xml:space="preserve">, M., editors, </w:t>
      </w:r>
      <w:r>
        <w:rPr>
          <w:i/>
          <w:iCs/>
        </w:rPr>
        <w:t>Proceedings of the 15th International Conference on Nucleation and Atmospheric Aerosols</w:t>
      </w:r>
      <w:r>
        <w:t>, pages 31-34, Berlin, Heidelberg, New York. American Institute of Physics Conference Proceedings, Springer Verlag.</w:t>
      </w:r>
    </w:p>
    <w:p w14:paraId="2DBFD1F5" w14:textId="77777777" w:rsidR="00F832B9" w:rsidRDefault="00223993">
      <w:pPr>
        <w:pStyle w:val="BodyA"/>
        <w:tabs>
          <w:tab w:val="center" w:pos="2268"/>
          <w:tab w:val="right" w:pos="4395"/>
        </w:tabs>
        <w:ind w:left="360" w:hanging="360"/>
        <w:jc w:val="both"/>
      </w:pPr>
      <w:proofErr w:type="spellStart"/>
      <w:r>
        <w:t>Noppel</w:t>
      </w:r>
      <w:proofErr w:type="spellEnd"/>
      <w:r>
        <w:t xml:space="preserve">, M., </w:t>
      </w:r>
      <w:proofErr w:type="spellStart"/>
      <w:r>
        <w:t>Vehkamäki</w:t>
      </w:r>
      <w:proofErr w:type="spellEnd"/>
      <w:r>
        <w:t xml:space="preserve">, H., and </w:t>
      </w:r>
      <w:proofErr w:type="spellStart"/>
      <w:r>
        <w:t>Kulmala</w:t>
      </w:r>
      <w:proofErr w:type="spellEnd"/>
      <w:r>
        <w:t xml:space="preserve">, M. (2002). </w:t>
      </w:r>
      <w:r>
        <w:rPr>
          <w:i/>
          <w:iCs/>
        </w:rPr>
        <w:t>J. Chem. Phys.</w:t>
      </w:r>
      <w:r>
        <w:t>, 116:218-228.</w:t>
      </w:r>
    </w:p>
    <w:p w14:paraId="32E65E86" w14:textId="77777777" w:rsidR="00F832B9" w:rsidRDefault="00223993">
      <w:pPr>
        <w:pStyle w:val="BodyA"/>
        <w:tabs>
          <w:tab w:val="center" w:pos="2268"/>
          <w:tab w:val="right" w:pos="4395"/>
        </w:tabs>
        <w:ind w:left="360" w:hanging="360"/>
        <w:jc w:val="both"/>
      </w:pPr>
      <w:r>
        <w:t xml:space="preserve">Seinfeld, J. and </w:t>
      </w:r>
      <w:proofErr w:type="spellStart"/>
      <w:r>
        <w:t>Pandis</w:t>
      </w:r>
      <w:proofErr w:type="spellEnd"/>
      <w:r>
        <w:t xml:space="preserve">, S. (2006). </w:t>
      </w:r>
      <w:r>
        <w:rPr>
          <w:i/>
          <w:iCs/>
        </w:rPr>
        <w:t>Atmospheric Chemistry and Physics: From Air Pollution to Climate Change</w:t>
      </w:r>
      <w:r>
        <w:t xml:space="preserve">. Wiley </w:t>
      </w:r>
      <w:proofErr w:type="spellStart"/>
      <w:r>
        <w:t>Interscience</w:t>
      </w:r>
      <w:proofErr w:type="spellEnd"/>
      <w:r>
        <w:t>, 2nd edition.</w:t>
      </w:r>
    </w:p>
    <w:sectPr w:rsidR="00F832B9">
      <w:headerReference w:type="default" r:id="rId10"/>
      <w:footerReference w:type="default" r:id="rId11"/>
      <w:type w:val="continuous"/>
      <w:pgSz w:w="11900" w:h="16840"/>
      <w:pgMar w:top="1418" w:right="1304" w:bottom="1588" w:left="1304" w:header="709" w:footer="709" w:gutter="0"/>
      <w:cols w:num="2" w:space="4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01B1F" w14:textId="77777777" w:rsidR="00786302" w:rsidRDefault="00786302">
      <w:r>
        <w:separator/>
      </w:r>
    </w:p>
  </w:endnote>
  <w:endnote w:type="continuationSeparator" w:id="0">
    <w:p w14:paraId="71DFB80D" w14:textId="77777777" w:rsidR="00786302" w:rsidRDefault="0078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32C96" w14:textId="77777777" w:rsidR="00F832B9" w:rsidRDefault="00F832B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6782" w14:textId="77777777" w:rsidR="00F832B9" w:rsidRDefault="00F832B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64B67" w14:textId="77777777" w:rsidR="00786302" w:rsidRDefault="00786302">
      <w:r>
        <w:separator/>
      </w:r>
    </w:p>
  </w:footnote>
  <w:footnote w:type="continuationSeparator" w:id="0">
    <w:p w14:paraId="46998107" w14:textId="77777777" w:rsidR="00786302" w:rsidRDefault="00786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093C" w14:textId="77777777" w:rsidR="00F832B9" w:rsidRDefault="00F832B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FBC7" w14:textId="77777777" w:rsidR="00F832B9" w:rsidRDefault="00F832B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B9"/>
    <w:rsid w:val="000D60F3"/>
    <w:rsid w:val="001628E7"/>
    <w:rsid w:val="001F4B57"/>
    <w:rsid w:val="00223993"/>
    <w:rsid w:val="003A49CB"/>
    <w:rsid w:val="004A7A44"/>
    <w:rsid w:val="004B05FB"/>
    <w:rsid w:val="005570B0"/>
    <w:rsid w:val="006F77AD"/>
    <w:rsid w:val="00786302"/>
    <w:rsid w:val="00B33B00"/>
    <w:rsid w:val="00E778B5"/>
    <w:rsid w:val="00E84522"/>
    <w:rsid w:val="00EA66B3"/>
    <w:rsid w:val="00ED78AD"/>
    <w:rsid w:val="00F832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974E1C6"/>
  <w15:docId w15:val="{FE891CFC-4F66-F443-B839-A04CAD41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u w:color="000000"/>
      <w:lang w:val="en-US"/>
    </w:rPr>
  </w:style>
  <w:style w:type="paragraph" w:styleId="BodyText">
    <w:name w:val="Body Text"/>
    <w:rPr>
      <w:rFonts w:eastAsia="Times New Roman"/>
      <w:color w:val="000000"/>
      <w:sz w:val="22"/>
      <w:szCs w:val="22"/>
      <w:u w:color="000000"/>
      <w:lang w:val="en-US"/>
    </w:rPr>
  </w:style>
  <w:style w:type="paragraph" w:customStyle="1" w:styleId="Default">
    <w:name w:val="Default"/>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3473">
      <w:bodyDiv w:val="1"/>
      <w:marLeft w:val="0"/>
      <w:marRight w:val="0"/>
      <w:marTop w:val="0"/>
      <w:marBottom w:val="0"/>
      <w:divBdr>
        <w:top w:val="none" w:sz="0" w:space="0" w:color="auto"/>
        <w:left w:val="none" w:sz="0" w:space="0" w:color="auto"/>
        <w:bottom w:val="none" w:sz="0" w:space="0" w:color="auto"/>
        <w:right w:val="none" w:sz="0" w:space="0" w:color="auto"/>
      </w:divBdr>
      <w:divsChild>
        <w:div w:id="1518538418">
          <w:marLeft w:val="0"/>
          <w:marRight w:val="0"/>
          <w:marTop w:val="0"/>
          <w:marBottom w:val="0"/>
          <w:divBdr>
            <w:top w:val="none" w:sz="0" w:space="0" w:color="auto"/>
            <w:left w:val="none" w:sz="0" w:space="0" w:color="auto"/>
            <w:bottom w:val="none" w:sz="0" w:space="0" w:color="auto"/>
            <w:right w:val="none" w:sz="0" w:space="0" w:color="auto"/>
          </w:divBdr>
        </w:div>
        <w:div w:id="11772294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Jonas Elm</cp:lastModifiedBy>
  <cp:revision>11</cp:revision>
  <dcterms:created xsi:type="dcterms:W3CDTF">2018-04-05T06:40:00Z</dcterms:created>
  <dcterms:modified xsi:type="dcterms:W3CDTF">2019-12-17T18:53:00Z</dcterms:modified>
</cp:coreProperties>
</file>